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C8" w:rsidRPr="00E10DC8" w:rsidRDefault="00E10DC8" w:rsidP="00E10DC8">
      <w:pPr>
        <w:shd w:val="clear" w:color="auto" w:fill="F4F4F4"/>
        <w:spacing w:before="810" w:after="540" w:line="540" w:lineRule="atLeast"/>
        <w:outlineLvl w:val="0"/>
        <w:rPr>
          <w:rFonts w:ascii="Arial" w:eastAsia="Times New Roman" w:hAnsi="Arial" w:cs="Arial"/>
          <w:color w:val="505050"/>
          <w:kern w:val="36"/>
          <w:sz w:val="54"/>
          <w:szCs w:val="54"/>
          <w:lang w:eastAsia="ru-RU"/>
        </w:rPr>
      </w:pPr>
      <w:r w:rsidRPr="00E10DC8">
        <w:rPr>
          <w:rFonts w:ascii="Arial" w:eastAsia="Times New Roman" w:hAnsi="Arial" w:cs="Arial"/>
          <w:color w:val="505050"/>
          <w:kern w:val="36"/>
          <w:sz w:val="54"/>
          <w:szCs w:val="54"/>
          <w:lang w:eastAsia="ru-RU"/>
        </w:rPr>
        <w:t>Проектная декларация долевого строительства многоквартирного жилого дома по адресу: г. Орел, ул. Андрианова, д. 31</w:t>
      </w:r>
    </w:p>
    <w:p w:rsidR="00E10DC8" w:rsidRPr="00E10DC8" w:rsidRDefault="00E10DC8" w:rsidP="00E10DC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Опубликована в газете «Моя реклама. Орел» №92/1535 от 21.11.2013 года</w:t>
      </w:r>
    </w:p>
    <w:p w:rsidR="00E10DC8" w:rsidRPr="00E10DC8" w:rsidRDefault="00E10DC8" w:rsidP="00E10DC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(с изменениями от </w:t>
      </w:r>
      <w:hyperlink r:id="rId4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16.12.2013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5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27.06.2014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6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22.08.2014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7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25.02.2015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8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02.11.2015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9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01.04.2016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0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04.05.2016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1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01.08.2016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2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01.11.2016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3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01.04.2017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4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03.04.2017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5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17.04.2017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6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02.05.2017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7" w:tgtFrame="_blank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01.08.2017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</w:p>
    <w:p w:rsidR="00E10DC8" w:rsidRPr="00E10DC8" w:rsidRDefault="00E10DC8" w:rsidP="00E10DC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Информация о застройщике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 Фирменное название: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Закрытое акционерное общество «Инвестиционная жилищная компания»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Юридический адрес: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302040 г. Орел, ул. М. Горького, 100, пом. 103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Почтовый адрес: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302040, г. Орел, ул. М. Горького, 100, пом. 103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понедельник-пятница с 9.00 до 18.00, перерыв с 13.00 до 14.00.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 Зарегистрировано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Регистрационной палатой г. Орла 23.03.1998 за № 1268-З; внесено в ЕГРЮЛ Инспекцией Министерства Российской Федерации по налогам и сборам по Заводскому району г. Орла 05.12.2002 г., ОГРН 1025700781402, свидетельство серия 57 № 000518589, ИНН 5752020676.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3. Учредитель: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Невров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Валентин Михайлович.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 Информация о проектах строительства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 Жилой дом ул. Пожарная, д. 33 (</w:t>
      </w:r>
      <w:hyperlink r:id="rId18" w:tgtFrame="_blank" w:tooltip="Разрешение на ввод в эксплуатацию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III квартал 2011 года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 Жилой дом по ул. Карьерная, 24 (</w:t>
      </w:r>
      <w:hyperlink r:id="rId19" w:tgtFrame="_blank" w:tooltip="Разрешение на ввод в эксплуатацию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 квартал 2012 года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 Жилой дом по ул. М. Горького, д. 84 (</w:t>
      </w:r>
      <w:hyperlink r:id="rId20" w:tgtFrame="_blank" w:tooltip="Разрешение на ввод в эксплуатацию" w:history="1">
        <w:r w:rsidRPr="00E10DC8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III квартал 2013 года</w:t>
        </w:r>
      </w:hyperlink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5.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На 30.06.2017 года размер дебиторской задолженности составляет 13950 тыс. рублей; кредиторской задолженности - 76045 тыс. рублей; размер чистой прибыли за полугодие 2017 года составляет 162 тыс. руб.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Информация о проекте строительства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 Цель проекта строительства: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возведение многоквартирного жилого дома и реализация квартир дольщикам – юридическим и физическим лицам.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 Этапы и сроки реализации проекта строительства: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начало строительства – IV квартал 2013 г.,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окончание строительства – IV квартал 2017 г.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Результаты государственной экспертизы проектной документации.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Проект многоквартирного жилого дома разработан ОАО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Гражданпроект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», шифр 26-13 прошел государственную экспертизу и получил положительное заключение № 57-1-4-0153-13 от 31.10.2013 г. АУОО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Орелгосэкспертиза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 по проектной документации на строительство «Многоквартирного жилого дома по ул. Андрианова, 31 в г. Орле».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3. Разрешение на строительство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№ RU 57301000-370-1/15516 от 12.11.2013 г., срок действия до 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15.04.2015 г. Разрешение на строительство № RU 57301000-10/15 от 20.02.2015 г., срок действия до 31.12.2018 г. Разрешение на строительство № 57-301000-40-2017 от 11.04.2017 г., срок действия до 31.12.2018 г.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 Права застройщика на земельный участок: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земельный участок под строительство жилого дома принадлежит на праве собственности закрытому акционерному обществу «Инвестиционная жилищная компания» на основании: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договора купли-продажи от 13.02.2012 г;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что подтверждается свидетельством о государственной регистрации права серия 57 АБ № 489117 от 24 октября 2013 года выданным Управлением Федеральной службы государственной регистрации, кадастра и картографии по Орловской области, запись регистрации в ЕГРП № 57-57-01/063/2013-192 от 30 сентября 2013 года.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Границы и площадь земельного участка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: кадастровый номер земельного участка 57:25:0010725:266; площадь земельного участка 5183 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кв.м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Дополнительные земельные участки: кадастровый номер 57:25:0010725:286 площадью 2180 кв. м, кадастровый номер 57:25:0010725:260 площадью 1124 кв. м.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Элементы благоустройства.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Проектом предусматривается благоустройство территории застройки и прилегающей территории в пределах площадки строительства. Для транспортной и пешеходной связи жилого дома с улицами и окружающей застройкой проектируются асфальтобетонные проезды и тротуары. Детская площадка оборудована малыми архитектурными формами.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5. Местоположение строящегося многоэтажного дома и его описание: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жилой дом расположен в Советском районе г. Орла, в квартале, ограниченный ул. Андрианова и имеет следующие характеристики: четырех подъездный шестнадцати (16) жилой дом. Теплоснабжение жилого дома запроектировано от крышной котельной, расположенной над техническим этажом. В жилом доме предусмотрены 1, 2-х, 3-х комнатные квартиры. В здании запроектировано 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мусороудаление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Каждый подъезд дома оборудован двумя лифтами грузопассажирским и пассажирским. Наружная отделка здания – стены здания выполняются из силикатного кирпича, стены всех этажей, а также ограждения лоджий окрашиваются акриловыми фасадными красками. Оконные блоки - двухкамерные стеклопакеты из ПВХ. Выполняется остекление лоджий. Все квартиры обеспечены нормативной инсоляцией.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6. Конструктивная схема здания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– неполный каркас с несущими монолитными железобетонными внутренними стенами и колоннами, монолитными несущими обвязочными балками-ригелями по наружным стенам, колоннам и внутренним стенам, перекрытием из сборных железобетонных плит. Фундамент – монолитная железобетонная плита. Стены наружные: подземной части – монолитный бетон толщиной 300 мм; надземной части – самонесущие толщиной 552,5 мм, в том числе: наружный слой из силикатного кирпича 120 мм, слой из пенобетона 420 мм и листы ГКЛВ – 12,5 мм. Стены межквартирные – из монолитного бетона 250 мм и силикатного кирпича 220 мм. Перегородки в квартирах: туалет, ванна из силикатного кирпича толщиной 88 мм и 120 мм, межкомнатные перегородки из гипсовых плит 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пазогребневых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толщиной 80 мм. Плиты перекрытий, покрытия – из сборных железобетонных многопустотных плит с монолитными участками. Кровля – плоская из направляемого материала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Филизол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7. Система отопления жилого дома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– однотрубная с верхней разводкой. Источником водоснабжения жилого дома является существующая наружная сеть водопровода по ул. Андрианова. Здание оборудуется следующими санитарно-техническими системами: хозяйственно-питьевого водоснабжения, местного горячего водоснабжения – от крышной котельной, внутренней бытовой канализации. Система холодного водоснабжения – тупиковая. Стояки холодного и горячего водоснабжения в квартирах приняты из полипропиленовых труб.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На кухнях предусмотрены электроплиты (проектом установка не предусмотрена).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8. Количество квартир в жилом доме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всего – 288, из них: однокомнатных – 145, двухкомнатных – 112, трехкомнатных – 31.</w:t>
      </w:r>
    </w:p>
    <w:p w:rsidR="00E10DC8" w:rsidRPr="00E10DC8" w:rsidRDefault="00E10DC8" w:rsidP="00E10DC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Описание квартир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Вид квартиры    Площадь общая/ жилая/ лоджии/балкона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61,4 / 19,47 / 4,11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Однокомнатная 42,64 / 17,03 / 4,8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42,66 / 17 / 2,74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41,66 / 20,77 / 4,8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42,66 / 17 / 3,68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39,26 / 14,8/ 9,26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72,57 /38.05 / 4,87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71,88 / 37,63 / 4,87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72,97 / 38,05 / 4,87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72,92 / 38,05 / 4,54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72,97 / 38,05 / 4,54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71,88 / 37,63 / 4,87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61,06 / 33,58 / 4,71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71,88 / 37,63 / 4,54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70,73 / 29,98 / 5,24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72,01 / 36,79 / 4,37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72,92 / 38,05 / 4,87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Трехкомнатная 81,83 / 46,89 / 9,18 (л)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Трехкомнатная 81,29 / 47,04 / 8,85 (л)</w:t>
      </w:r>
    </w:p>
    <w:p w:rsidR="00E10DC8" w:rsidRPr="00E10DC8" w:rsidRDefault="00E10DC8" w:rsidP="00E10DC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9. Состав общего имущества в многоэтажном доме, которое будет находиться в общей долевой собственности: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места общего пользования – лестничные площадки и 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межлестничные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марши, придомовая территория, чердаки и технические подполья; лифты и лифтовые шахты, крышная котельная.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10. Предполагаемый срок получения разрешения на ввод в эксплуатацию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строящегося многоквартирного дома: IV квартал 2017 г.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Состав приемочной комиссии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по приемке  многоэтажного жилого  дома: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ЗАО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Инжилком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Управление по государственному строительному надзору и жилищной инспекции Орловской области;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эксплуатационная организация ОАО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Орелжилэксплуатация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генеральный подрядчик ООО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БелСтройМонолит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проектная организация ОАО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Гражданпроект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11. Возможные финансовые и прочие риски при осуществлении проекта строительства: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риск того, что строительство дома не будет завершено, может возникнуть в случае наступления действия непреодолимой силы. Случаями непреодолимой силы признаются следующие события: война и военные действия, введение чрезвычайного положения или военного положения, мобилизация, всеобщая забастовка, стихийные бедствия, акты органов власти, которые влияют на исполнение обязательств.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12. Перечень организаций, осуществляющих основные строительно-монтажные и другие работы (подрядчиков): 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все основные строительно-монтажные работы выполняет  ООО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БелСтройМонолит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», инженерные сети и благоустройство, а также монтаж внутренней системы отопления, водопровода и канализации – ЗАО «</w:t>
      </w:r>
      <w:proofErr w:type="spellStart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Жилстрой</w:t>
      </w:r>
      <w:proofErr w:type="spellEnd"/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 и др.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13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Планируемая стоимость строительства многоквартирного жилого дома составляет 629 000 тыс. руб.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14.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 качестве способа обеспечения исполнения обязательств застройщика по договору устанавливается залог права собственности на указанный земельный участок и строящийся на этом участке многоквартирный дом,  согласно статьи 13 Федерального закона РФ №214-ФЗ от 30.12.2004 г.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15.</w:t>
      </w: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Иных договоров и сделок, кроме договоров участия в долевом строительстве, на основании которых привлекаются денежные средства для строительства указанного многоквартирного дома нет.</w:t>
      </w:r>
    </w:p>
    <w:p w:rsidR="00E10DC8" w:rsidRPr="00E10DC8" w:rsidRDefault="00E10DC8" w:rsidP="00E10DC8">
      <w:pPr>
        <w:shd w:val="clear" w:color="auto" w:fill="FFFFFF"/>
        <w:spacing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10DC8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Генеральный директор ЗАО «</w:t>
      </w:r>
      <w:proofErr w:type="spellStart"/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Инжилком</w:t>
      </w:r>
      <w:proofErr w:type="spellEnd"/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 xml:space="preserve">» В. М. </w:t>
      </w:r>
      <w:proofErr w:type="spellStart"/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Невров</w:t>
      </w:r>
      <w:proofErr w:type="spellEnd"/>
      <w:r w:rsidRPr="00E10DC8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 </w:t>
      </w:r>
    </w:p>
    <w:p w:rsidR="001F09B8" w:rsidRDefault="001F09B8">
      <w:bookmarkStart w:id="0" w:name="_GoBack"/>
      <w:bookmarkEnd w:id="0"/>
    </w:p>
    <w:sectPr w:rsidR="001F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8"/>
    <w:rsid w:val="001F09B8"/>
    <w:rsid w:val="00E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AF2C-FCB6-4F2A-A28A-5F4CF1C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DC8"/>
    <w:rPr>
      <w:b/>
      <w:bCs/>
    </w:rPr>
  </w:style>
  <w:style w:type="character" w:styleId="a5">
    <w:name w:val="Hyperlink"/>
    <w:basedOn w:val="a0"/>
    <w:uiPriority w:val="99"/>
    <w:semiHidden/>
    <w:unhideWhenUsed/>
    <w:rsid w:val="00E1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8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30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jilkom.ru/images/doc/izm-andr-31-02_11_2015.pdf" TargetMode="External"/><Relationship Id="rId13" Type="http://schemas.openxmlformats.org/officeDocument/2006/relationships/hyperlink" Target="http://injilkom.ru/images/doc/izm-andr-31-01_04_2017.pdf" TargetMode="External"/><Relationship Id="rId18" Type="http://schemas.openxmlformats.org/officeDocument/2006/relationships/hyperlink" Target="http://injilkom.ru/images/doc/vvod-pozharnaya-33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jilkom.ru/images/doc/izm-andr-31-25_02_2015.pdf" TargetMode="External"/><Relationship Id="rId12" Type="http://schemas.openxmlformats.org/officeDocument/2006/relationships/hyperlink" Target="http://injilkom.ru/images/doc/izm-andr-31-01_11_2016.pdf" TargetMode="External"/><Relationship Id="rId17" Type="http://schemas.openxmlformats.org/officeDocument/2006/relationships/hyperlink" Target="http://injilkom.ru/images/doc/izm-andr-31-01_08_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jilkom.ru/images/doc/izm-andr-31-02_05_2017.pdf" TargetMode="External"/><Relationship Id="rId20" Type="http://schemas.openxmlformats.org/officeDocument/2006/relationships/hyperlink" Target="http://injilkom.ru/images/doc/vvod-gorkogo-8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njilkom.ru/images/doc/izm-andr-31-22_08_2014.pdf" TargetMode="External"/><Relationship Id="rId11" Type="http://schemas.openxmlformats.org/officeDocument/2006/relationships/hyperlink" Target="http://injilkom.ru/images/doc/izm-andr-31-01_08_2016.pdf" TargetMode="External"/><Relationship Id="rId5" Type="http://schemas.openxmlformats.org/officeDocument/2006/relationships/hyperlink" Target="http://injilkom.ru/images/doc/izm-andr-31-27_06_2014.pdf" TargetMode="External"/><Relationship Id="rId15" Type="http://schemas.openxmlformats.org/officeDocument/2006/relationships/hyperlink" Target="http://injilkom.ru/images/doc/izm-andr-31-17_04_2017.pdf" TargetMode="External"/><Relationship Id="rId10" Type="http://schemas.openxmlformats.org/officeDocument/2006/relationships/hyperlink" Target="http://injilkom.ru/images/doc/izm-andr-31-04_05_2016.pdf" TargetMode="External"/><Relationship Id="rId19" Type="http://schemas.openxmlformats.org/officeDocument/2006/relationships/hyperlink" Target="http://injilkom.ru/images/doc/vvod-karyernaya-24.pdf" TargetMode="External"/><Relationship Id="rId4" Type="http://schemas.openxmlformats.org/officeDocument/2006/relationships/hyperlink" Target="http://injilkom.ru/images/doc/izm-andr-31-16_12_2013.pdf" TargetMode="External"/><Relationship Id="rId9" Type="http://schemas.openxmlformats.org/officeDocument/2006/relationships/hyperlink" Target="http://injilkom.ru/images/doc/izm-andr-31-01_04_2016.pdf" TargetMode="External"/><Relationship Id="rId14" Type="http://schemas.openxmlformats.org/officeDocument/2006/relationships/hyperlink" Target="http://injilkom.ru/images/doc/izm-andr-31-03_04_201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2017-09-06T13:28:00Z</dcterms:created>
  <dcterms:modified xsi:type="dcterms:W3CDTF">2017-09-06T13:28:00Z</dcterms:modified>
</cp:coreProperties>
</file>